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scheme, along with their geographical characteristics, input datasets, and interpretation methods. The nomenclature is designed to align with the MAES ecosystem typology and ensures compatibility with other European LC/LU products, including Corine Land Cover (CLC) and Urban Atlas.</dc:description>
  <cp:keywords>Land Cover Change delineation, Minimum Mapping Unit exceptions, Visual interpretation refinement, VHR satellite data classification, MAES ecosystem typology alignment, Coastal zone thematic classes, Object delineation rules, Geometric inconsistencies handling, Coastal wetland differentiation, Water level fluctuation flagging</cp:keywords>
  <dcterms:created xsi:type="dcterms:W3CDTF">2025-10-08T05:39:07Z</dcterms:created>
  <dcterms:modified xsi:type="dcterms:W3CDTF">2025-10-08T05:39:07Z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